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E9" w:rsidRDefault="001822E9">
      <w:pPr>
        <w:pStyle w:val="BodyText"/>
        <w:rPr>
          <w:sz w:val="20"/>
        </w:rPr>
      </w:pPr>
    </w:p>
    <w:p w:rsidR="001822E9" w:rsidRDefault="001822E9">
      <w:pPr>
        <w:pStyle w:val="BodyText"/>
        <w:rPr>
          <w:sz w:val="20"/>
        </w:rPr>
      </w:pPr>
    </w:p>
    <w:p w:rsidR="001822E9" w:rsidRDefault="001822E9">
      <w:pPr>
        <w:pStyle w:val="BodyText"/>
        <w:rPr>
          <w:sz w:val="20"/>
        </w:rPr>
      </w:pPr>
    </w:p>
    <w:p w:rsidR="001822E9" w:rsidRDefault="001822E9">
      <w:pPr>
        <w:pStyle w:val="BodyText"/>
        <w:rPr>
          <w:sz w:val="20"/>
        </w:rPr>
      </w:pPr>
    </w:p>
    <w:p w:rsidR="001822E9" w:rsidRDefault="001822E9">
      <w:pPr>
        <w:pStyle w:val="BodyText"/>
        <w:spacing w:before="1"/>
        <w:rPr>
          <w:sz w:val="28"/>
        </w:rPr>
      </w:pPr>
    </w:p>
    <w:p w:rsidR="001822E9" w:rsidRDefault="003B20F0">
      <w:pPr>
        <w:spacing w:line="480" w:lineRule="auto"/>
        <w:ind w:left="200" w:right="8621"/>
      </w:pPr>
      <w:r>
        <w:t xml:space="preserve">Insert Address Insert </w:t>
      </w:r>
      <w:proofErr w:type="gramStart"/>
      <w:r>
        <w:t>date</w:t>
      </w:r>
      <w:proofErr w:type="gramEnd"/>
      <w:r>
        <w:t xml:space="preserve"> Insert name</w:t>
      </w:r>
      <w:bookmarkStart w:id="0" w:name="_GoBack"/>
      <w:bookmarkEnd w:id="0"/>
    </w:p>
    <w:p w:rsidR="001822E9" w:rsidRDefault="003B20F0">
      <w:pPr>
        <w:spacing w:before="7"/>
        <w:ind w:left="200" w:right="1198"/>
      </w:pPr>
      <w:r>
        <w:t xml:space="preserve">I am writing to you to share the </w:t>
      </w:r>
      <w:r>
        <w:rPr>
          <w:i/>
        </w:rPr>
        <w:t xml:space="preserve">Hope for the future: Tackling inequalities in pancreatic cancer care </w:t>
      </w:r>
      <w:r>
        <w:t>report</w:t>
      </w:r>
      <w:r w:rsidR="00AD0AFB">
        <w:t xml:space="preserve"> (</w:t>
      </w:r>
      <w:hyperlink r:id="rId7" w:history="1">
        <w:r w:rsidR="00AD0AFB" w:rsidRPr="00262D75">
          <w:rPr>
            <w:rStyle w:val="Hyperlink"/>
          </w:rPr>
          <w:t>www.panact.org/report</w:t>
        </w:r>
      </w:hyperlink>
      <w:r w:rsidR="00AD0AFB">
        <w:t>)</w:t>
      </w:r>
      <w:r>
        <w:t>, which has been developed by Pancreatic Cancer Action and Shire, and to ask for your support regarding its recommendations.</w:t>
      </w:r>
    </w:p>
    <w:p w:rsidR="001822E9" w:rsidRDefault="001822E9">
      <w:pPr>
        <w:pStyle w:val="BodyText"/>
        <w:spacing w:before="9"/>
        <w:rPr>
          <w:sz w:val="21"/>
        </w:rPr>
      </w:pPr>
    </w:p>
    <w:p w:rsidR="001822E9" w:rsidRDefault="003B20F0">
      <w:pPr>
        <w:ind w:left="200" w:right="1149"/>
      </w:pPr>
      <w:r>
        <w:t>As you may be aware, pancreatic cancer patients experience considerable and persistent disadvantages compared to other cancer patient communities at almost every stage of their cancer journey:</w:t>
      </w:r>
    </w:p>
    <w:p w:rsidR="001822E9" w:rsidRDefault="001822E9">
      <w:pPr>
        <w:pStyle w:val="BodyText"/>
        <w:spacing w:before="5"/>
        <w:rPr>
          <w:sz w:val="22"/>
        </w:rPr>
      </w:pPr>
    </w:p>
    <w:p w:rsidR="001822E9" w:rsidRDefault="003B20F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35" w:lineRule="auto"/>
        <w:ind w:right="1453"/>
        <w:rPr>
          <w:sz w:val="14"/>
        </w:rPr>
      </w:pPr>
      <w:r>
        <w:t>Patients report worse experiences of care</w:t>
      </w:r>
      <w:r>
        <w:rPr>
          <w:position w:val="8"/>
          <w:sz w:val="14"/>
        </w:rPr>
        <w:t>1</w:t>
      </w:r>
      <w:r>
        <w:t>, are diagnosed later</w:t>
      </w:r>
      <w:r>
        <w:rPr>
          <w:position w:val="8"/>
          <w:sz w:val="14"/>
        </w:rPr>
        <w:t xml:space="preserve">2 </w:t>
      </w:r>
      <w:r>
        <w:t>and have limited treatment</w:t>
      </w:r>
      <w:r>
        <w:rPr>
          <w:spacing w:val="-9"/>
        </w:rPr>
        <w:t xml:space="preserve"> </w:t>
      </w:r>
      <w:r>
        <w:t>options</w:t>
      </w:r>
      <w:r>
        <w:rPr>
          <w:position w:val="8"/>
          <w:sz w:val="14"/>
        </w:rPr>
        <w:t>3</w:t>
      </w:r>
    </w:p>
    <w:p w:rsidR="001822E9" w:rsidRDefault="003B20F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3" w:line="235" w:lineRule="auto"/>
        <w:ind w:right="1242"/>
        <w:rPr>
          <w:sz w:val="14"/>
        </w:rPr>
      </w:pPr>
      <w:r>
        <w:t>Survival is the lowest of all the common cancers and has failed to improve in nearly fifty</w:t>
      </w:r>
      <w:r>
        <w:rPr>
          <w:spacing w:val="-7"/>
        </w:rPr>
        <w:t xml:space="preserve"> </w:t>
      </w:r>
      <w:r>
        <w:t>years</w:t>
      </w:r>
      <w:r>
        <w:rPr>
          <w:position w:val="8"/>
          <w:sz w:val="14"/>
        </w:rPr>
        <w:t>4</w:t>
      </w:r>
    </w:p>
    <w:p w:rsidR="001822E9" w:rsidRDefault="003B20F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3" w:line="235" w:lineRule="auto"/>
        <w:ind w:right="1133"/>
        <w:rPr>
          <w:sz w:val="14"/>
        </w:rPr>
      </w:pPr>
      <w:r>
        <w:t>Mortality continues to rise, in stark contrast to national cancer mortality figures which have fallen over the last</w:t>
      </w:r>
      <w:r>
        <w:rPr>
          <w:spacing w:val="-7"/>
        </w:rPr>
        <w:t xml:space="preserve"> </w:t>
      </w:r>
      <w:r>
        <w:t>decade</w:t>
      </w:r>
      <w:r>
        <w:rPr>
          <w:position w:val="8"/>
          <w:sz w:val="14"/>
        </w:rPr>
        <w:t>5</w:t>
      </w:r>
    </w:p>
    <w:p w:rsidR="001822E9" w:rsidRDefault="001822E9">
      <w:pPr>
        <w:pStyle w:val="BodyText"/>
        <w:spacing w:before="9"/>
        <w:rPr>
          <w:sz w:val="21"/>
        </w:rPr>
      </w:pPr>
    </w:p>
    <w:p w:rsidR="001822E9" w:rsidRDefault="003B20F0">
      <w:pPr>
        <w:ind w:left="200" w:right="1027"/>
      </w:pPr>
      <w:r>
        <w:t xml:space="preserve">The </w:t>
      </w:r>
      <w:r>
        <w:rPr>
          <w:i/>
        </w:rPr>
        <w:t xml:space="preserve">Hope for the future </w:t>
      </w:r>
      <w:r>
        <w:t xml:space="preserve">report has been written to bring together the available data on pancreatic cancer </w:t>
      </w:r>
      <w:proofErr w:type="gramStart"/>
      <w:r>
        <w:t>in an attempt to</w:t>
      </w:r>
      <w:proofErr w:type="gramEnd"/>
      <w:r>
        <w:t xml:space="preserve"> quantify the inequalities faced by pancreatic cancer patients, and to identify where action can be taken now, to drive improvements for the future.</w:t>
      </w:r>
    </w:p>
    <w:p w:rsidR="001822E9" w:rsidRDefault="001822E9">
      <w:pPr>
        <w:pStyle w:val="BodyText"/>
        <w:rPr>
          <w:sz w:val="22"/>
        </w:rPr>
      </w:pPr>
    </w:p>
    <w:p w:rsidR="001822E9" w:rsidRDefault="003B20F0">
      <w:pPr>
        <w:ind w:left="200" w:right="1052"/>
      </w:pPr>
      <w:r>
        <w:t xml:space="preserve">On 25 October, a roundtable was held on the report. The roundtable brought together key stakeholders, including parliamentarians, policymakers, </w:t>
      </w:r>
      <w:proofErr w:type="spellStart"/>
      <w:r>
        <w:t>carers</w:t>
      </w:r>
      <w:proofErr w:type="spellEnd"/>
      <w:r>
        <w:t xml:space="preserve"> and clinicians with an interest in pancreatic cancer to share their views on the report’s recommendations and to discuss how to drive long-overdue improvements in pancreatic cancer outcomes.</w:t>
      </w:r>
    </w:p>
    <w:p w:rsidR="001822E9" w:rsidRDefault="001822E9">
      <w:pPr>
        <w:pStyle w:val="BodyText"/>
        <w:rPr>
          <w:sz w:val="22"/>
        </w:rPr>
      </w:pPr>
    </w:p>
    <w:p w:rsidR="001822E9" w:rsidRDefault="003B20F0">
      <w:pPr>
        <w:ind w:left="200" w:right="1222"/>
      </w:pPr>
      <w:r>
        <w:t>I would be very interested to hear your thoughts on this report, its recommendations and to understand how you think we can take it forward.</w:t>
      </w:r>
    </w:p>
    <w:p w:rsidR="001822E9" w:rsidRDefault="001822E9">
      <w:pPr>
        <w:pStyle w:val="BodyText"/>
        <w:spacing w:before="11"/>
        <w:rPr>
          <w:sz w:val="21"/>
        </w:rPr>
      </w:pPr>
    </w:p>
    <w:p w:rsidR="001822E9" w:rsidRDefault="003B20F0">
      <w:pPr>
        <w:ind w:left="200" w:right="8792"/>
      </w:pPr>
      <w:r>
        <w:t>Kind regards Insert name</w:t>
      </w:r>
    </w:p>
    <w:p w:rsidR="001822E9" w:rsidRDefault="001822E9">
      <w:pPr>
        <w:pStyle w:val="BodyText"/>
        <w:rPr>
          <w:sz w:val="20"/>
        </w:rPr>
      </w:pPr>
    </w:p>
    <w:p w:rsidR="001822E9" w:rsidRDefault="001822E9">
      <w:pPr>
        <w:pStyle w:val="BodyText"/>
        <w:rPr>
          <w:sz w:val="20"/>
        </w:rPr>
      </w:pPr>
    </w:p>
    <w:p w:rsidR="001822E9" w:rsidRDefault="001822E9">
      <w:pPr>
        <w:pStyle w:val="BodyText"/>
        <w:rPr>
          <w:sz w:val="20"/>
        </w:rPr>
      </w:pPr>
    </w:p>
    <w:p w:rsidR="001822E9" w:rsidRDefault="00B8047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1829435" cy="0"/>
                <wp:effectExtent l="9525" t="5715" r="8890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B891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35pt" to="216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Pa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" strokeweight=".84pt">
                <w10:wrap type="topAndBottom" anchorx="page"/>
              </v:line>
            </w:pict>
          </mc:Fallback>
        </mc:AlternateContent>
      </w:r>
    </w:p>
    <w:p w:rsidR="001822E9" w:rsidRDefault="003B20F0">
      <w:pPr>
        <w:spacing w:before="71" w:line="186" w:lineRule="exact"/>
        <w:ind w:left="200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 xml:space="preserve">NHS England, </w:t>
      </w:r>
      <w:hyperlink r:id="rId8">
        <w:r>
          <w:rPr>
            <w:color w:val="0462C1"/>
            <w:sz w:val="16"/>
            <w:u w:val="single" w:color="0462C1"/>
          </w:rPr>
          <w:t>Cancer Patient Experience Survey, National Results, 2015</w:t>
        </w:r>
        <w:r>
          <w:rPr>
            <w:sz w:val="16"/>
          </w:rPr>
          <w:t xml:space="preserve">, </w:t>
        </w:r>
      </w:hyperlink>
      <w:r>
        <w:rPr>
          <w:sz w:val="16"/>
        </w:rPr>
        <w:t>National Report, September 2014</w:t>
      </w:r>
    </w:p>
    <w:p w:rsidR="001822E9" w:rsidRDefault="003B20F0">
      <w:pPr>
        <w:spacing w:line="185" w:lineRule="exact"/>
        <w:ind w:left="200"/>
        <w:rPr>
          <w:sz w:val="16"/>
        </w:rPr>
      </w:pPr>
      <w:r>
        <w:rPr>
          <w:position w:val="6"/>
          <w:sz w:val="10"/>
        </w:rPr>
        <w:t xml:space="preserve">2 </w:t>
      </w:r>
      <w:r>
        <w:rPr>
          <w:sz w:val="16"/>
        </w:rPr>
        <w:t xml:space="preserve">National Cancer Intelligence Network, </w:t>
      </w:r>
      <w:hyperlink r:id="rId9">
        <w:r>
          <w:rPr>
            <w:color w:val="0462C1"/>
            <w:sz w:val="16"/>
            <w:u w:val="single" w:color="0462C1"/>
          </w:rPr>
          <w:t>Routes to Diagnosis 2006-2013 (b),</w:t>
        </w:r>
        <w:r>
          <w:rPr>
            <w:color w:val="0462C1"/>
            <w:sz w:val="16"/>
          </w:rPr>
          <w:t xml:space="preserve"> </w:t>
        </w:r>
      </w:hyperlink>
      <w:r>
        <w:rPr>
          <w:sz w:val="16"/>
        </w:rPr>
        <w:t>September 2015</w:t>
      </w:r>
    </w:p>
    <w:p w:rsidR="001822E9" w:rsidRDefault="003B20F0">
      <w:pPr>
        <w:spacing w:line="184" w:lineRule="exact"/>
        <w:ind w:left="200"/>
        <w:rPr>
          <w:sz w:val="16"/>
        </w:rPr>
      </w:pPr>
      <w:r>
        <w:rPr>
          <w:position w:val="6"/>
          <w:sz w:val="10"/>
        </w:rPr>
        <w:t xml:space="preserve">3  </w:t>
      </w:r>
      <w:r>
        <w:rPr>
          <w:sz w:val="16"/>
        </w:rPr>
        <w:t xml:space="preserve">Pancreatic Cancer UK, </w:t>
      </w:r>
      <w:hyperlink r:id="rId10">
        <w:r>
          <w:rPr>
            <w:color w:val="0462C1"/>
            <w:sz w:val="16"/>
            <w:u w:val="single" w:color="0462C1"/>
          </w:rPr>
          <w:t>The Key to Survival Campaign</w:t>
        </w:r>
      </w:hyperlink>
    </w:p>
    <w:p w:rsidR="001822E9" w:rsidRDefault="003B20F0">
      <w:pPr>
        <w:ind w:left="200" w:right="1035"/>
        <w:rPr>
          <w:sz w:val="16"/>
        </w:rPr>
      </w:pPr>
      <w:r>
        <w:rPr>
          <w:position w:val="6"/>
          <w:sz w:val="10"/>
        </w:rPr>
        <w:t xml:space="preserve">4 </w:t>
      </w:r>
      <w:r>
        <w:rPr>
          <w:sz w:val="16"/>
        </w:rPr>
        <w:t>Cancer Research UK, Pancreatic cancer survival trends over time</w:t>
      </w:r>
      <w:r>
        <w:rPr>
          <w:color w:val="0462C1"/>
          <w:sz w:val="16"/>
          <w:u w:val="single" w:color="0462C1"/>
        </w:rPr>
        <w:t xml:space="preserve">, </w:t>
      </w:r>
      <w:hyperlink r:id="rId11" w:anchor="heading-Two">
        <w:r>
          <w:rPr>
            <w:color w:val="0462C1"/>
            <w:sz w:val="16"/>
            <w:u w:val="single" w:color="0462C1"/>
          </w:rPr>
          <w:t>Pancreatic cancer survival trends over time</w:t>
        </w:r>
      </w:hyperlink>
      <w:r>
        <w:rPr>
          <w:color w:val="0462C1"/>
          <w:sz w:val="16"/>
          <w:u w:val="single" w:color="0462C1"/>
        </w:rPr>
        <w:t>, accessed</w:t>
      </w:r>
      <w:r>
        <w:rPr>
          <w:color w:val="0462C1"/>
          <w:sz w:val="16"/>
        </w:rPr>
        <w:t xml:space="preserve"> </w:t>
      </w:r>
      <w:r>
        <w:rPr>
          <w:color w:val="0462C1"/>
          <w:sz w:val="16"/>
          <w:u w:val="single" w:color="0462C1"/>
        </w:rPr>
        <w:t>September 2016</w:t>
      </w:r>
    </w:p>
    <w:p w:rsidR="001822E9" w:rsidRDefault="003B20F0">
      <w:pPr>
        <w:spacing w:before="3" w:line="185" w:lineRule="exact"/>
        <w:ind w:left="200"/>
        <w:rPr>
          <w:sz w:val="16"/>
        </w:rPr>
      </w:pPr>
      <w:r>
        <w:rPr>
          <w:position w:val="6"/>
          <w:sz w:val="10"/>
        </w:rPr>
        <w:t xml:space="preserve">5 </w:t>
      </w:r>
      <w:r>
        <w:rPr>
          <w:sz w:val="16"/>
        </w:rPr>
        <w:t xml:space="preserve">Cancer Research UK, </w:t>
      </w:r>
      <w:hyperlink r:id="rId12">
        <w:r>
          <w:rPr>
            <w:color w:val="0462C1"/>
            <w:sz w:val="16"/>
            <w:u w:val="single" w:color="0462C1"/>
          </w:rPr>
          <w:t>Cancer death rates fall by almost 10 per cent in 10 years</w:t>
        </w:r>
        <w:r>
          <w:rPr>
            <w:sz w:val="16"/>
          </w:rPr>
          <w:t xml:space="preserve">, </w:t>
        </w:r>
      </w:hyperlink>
      <w:r>
        <w:rPr>
          <w:sz w:val="16"/>
        </w:rPr>
        <w:t>February 2016</w:t>
      </w:r>
    </w:p>
    <w:p w:rsidR="00B80470" w:rsidRDefault="00B80470" w:rsidP="00B80470">
      <w:pPr>
        <w:ind w:left="200" w:right="1284"/>
      </w:pPr>
    </w:p>
    <w:sectPr w:rsidR="00B80470">
      <w:footerReference w:type="default" r:id="rId13"/>
      <w:pgSz w:w="11900" w:h="16850"/>
      <w:pgMar w:top="1400" w:right="400" w:bottom="1560" w:left="1240" w:header="363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E2" w:rsidRDefault="00374FE2">
      <w:r>
        <w:separator/>
      </w:r>
    </w:p>
  </w:endnote>
  <w:endnote w:type="continuationSeparator" w:id="0">
    <w:p w:rsidR="00374FE2" w:rsidRDefault="003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E9" w:rsidRDefault="00B804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9688830</wp:posOffset>
              </wp:positionV>
              <wp:extent cx="5532120" cy="280035"/>
              <wp:effectExtent l="1905" t="1905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12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2E9" w:rsidRDefault="001822E9">
                          <w:pPr>
                            <w:spacing w:line="203" w:lineRule="exact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9.65pt;margin-top:762.9pt;width:435.6pt;height:22.0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jFrgIAAKkFAAAOAAAAZHJzL2Uyb0RvYy54bWysVG1vmzAQ/j5p/8Hyd8JLIA2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" filled="f" stroked="f">
              <v:textbox inset="0,0,0,0">
                <w:txbxContent>
                  <w:p w:rsidR="001822E9" w:rsidRDefault="001822E9">
                    <w:pPr>
                      <w:spacing w:line="203" w:lineRule="exact"/>
                      <w:jc w:val="center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E2" w:rsidRDefault="00374FE2">
      <w:r>
        <w:separator/>
      </w:r>
    </w:p>
  </w:footnote>
  <w:footnote w:type="continuationSeparator" w:id="0">
    <w:p w:rsidR="00374FE2" w:rsidRDefault="003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417"/>
    <w:multiLevelType w:val="hybridMultilevel"/>
    <w:tmpl w:val="B380D274"/>
    <w:lvl w:ilvl="0" w:tplc="309889DA">
      <w:numFmt w:val="bullet"/>
      <w:lvlText w:val="•"/>
      <w:lvlJc w:val="left"/>
      <w:pPr>
        <w:ind w:left="9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6A630D0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22AA52FA">
      <w:numFmt w:val="bullet"/>
      <w:lvlText w:val="•"/>
      <w:lvlJc w:val="left"/>
      <w:pPr>
        <w:ind w:left="2787" w:hanging="360"/>
      </w:pPr>
      <w:rPr>
        <w:rFonts w:hint="default"/>
      </w:rPr>
    </w:lvl>
    <w:lvl w:ilvl="3" w:tplc="CB32C01E"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EDA0DB9E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F5100484"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BAD650E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0F26853E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05AA95D8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1" w15:restartNumberingAfterBreak="0">
    <w:nsid w:val="26D20AB6"/>
    <w:multiLevelType w:val="hybridMultilevel"/>
    <w:tmpl w:val="4280A130"/>
    <w:lvl w:ilvl="0" w:tplc="2F565DF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AE99F6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17487BC0">
      <w:numFmt w:val="bullet"/>
      <w:lvlText w:val="•"/>
      <w:lvlJc w:val="left"/>
      <w:pPr>
        <w:ind w:left="2787" w:hanging="360"/>
      </w:pPr>
      <w:rPr>
        <w:rFonts w:hint="default"/>
      </w:rPr>
    </w:lvl>
    <w:lvl w:ilvl="3" w:tplc="13840906"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7F8A4680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8643B94"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0A326F9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93EE84DA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06066D72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2" w15:restartNumberingAfterBreak="0">
    <w:nsid w:val="280803DD"/>
    <w:multiLevelType w:val="hybridMultilevel"/>
    <w:tmpl w:val="EDD4A26E"/>
    <w:lvl w:ilvl="0" w:tplc="FDB8479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E4DA5C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82EACEAC">
      <w:numFmt w:val="bullet"/>
      <w:lvlText w:val="•"/>
      <w:lvlJc w:val="left"/>
      <w:pPr>
        <w:ind w:left="2787" w:hanging="360"/>
      </w:pPr>
      <w:rPr>
        <w:rFonts w:hint="default"/>
      </w:rPr>
    </w:lvl>
    <w:lvl w:ilvl="3" w:tplc="2E922274"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27EE34B4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2866449E"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D812C0EC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B178F8B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BF7EE7C4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3" w15:restartNumberingAfterBreak="0">
    <w:nsid w:val="74E95C30"/>
    <w:multiLevelType w:val="hybridMultilevel"/>
    <w:tmpl w:val="F1640CD4"/>
    <w:lvl w:ilvl="0" w:tplc="8BCC769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AB41804"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9D3C9F00">
      <w:numFmt w:val="bullet"/>
      <w:lvlText w:val="•"/>
      <w:lvlJc w:val="left"/>
      <w:pPr>
        <w:ind w:left="2787" w:hanging="360"/>
      </w:pPr>
      <w:rPr>
        <w:rFonts w:hint="default"/>
      </w:rPr>
    </w:lvl>
    <w:lvl w:ilvl="3" w:tplc="3418DFE4"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CC20875A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5104BBA"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7DDCDFD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9014E77A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F0800998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4" w15:restartNumberingAfterBreak="0">
    <w:nsid w:val="7DB9010E"/>
    <w:multiLevelType w:val="hybridMultilevel"/>
    <w:tmpl w:val="59EAF16A"/>
    <w:lvl w:ilvl="0" w:tplc="FE3A851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3265F8">
      <w:numFmt w:val="bullet"/>
      <w:lvlText w:val="•"/>
      <w:lvlJc w:val="left"/>
      <w:pPr>
        <w:ind w:left="1893" w:hanging="360"/>
      </w:pPr>
      <w:rPr>
        <w:rFonts w:hint="default"/>
      </w:rPr>
    </w:lvl>
    <w:lvl w:ilvl="2" w:tplc="4E36E890">
      <w:numFmt w:val="bullet"/>
      <w:lvlText w:val="•"/>
      <w:lvlJc w:val="left"/>
      <w:pPr>
        <w:ind w:left="2827" w:hanging="360"/>
      </w:pPr>
      <w:rPr>
        <w:rFonts w:hint="default"/>
      </w:rPr>
    </w:lvl>
    <w:lvl w:ilvl="3" w:tplc="6240B1DA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672678B2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A67A186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CA98D26E">
      <w:numFmt w:val="bullet"/>
      <w:lvlText w:val="•"/>
      <w:lvlJc w:val="left"/>
      <w:pPr>
        <w:ind w:left="6563" w:hanging="360"/>
      </w:pPr>
      <w:rPr>
        <w:rFonts w:hint="default"/>
      </w:rPr>
    </w:lvl>
    <w:lvl w:ilvl="7" w:tplc="3BAEFACC">
      <w:numFmt w:val="bullet"/>
      <w:lvlText w:val="•"/>
      <w:lvlJc w:val="left"/>
      <w:pPr>
        <w:ind w:left="7497" w:hanging="360"/>
      </w:pPr>
      <w:rPr>
        <w:rFonts w:hint="default"/>
      </w:rPr>
    </w:lvl>
    <w:lvl w:ilvl="8" w:tplc="0A662A48">
      <w:numFmt w:val="bullet"/>
      <w:lvlText w:val="•"/>
      <w:lvlJc w:val="left"/>
      <w:pPr>
        <w:ind w:left="8431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E9"/>
    <w:rsid w:val="001822E9"/>
    <w:rsid w:val="00374FE2"/>
    <w:rsid w:val="003B20F0"/>
    <w:rsid w:val="00AD0AFB"/>
    <w:rsid w:val="00B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D4D98"/>
  <w15:docId w15:val="{359D4693-726A-47A2-8D14-14847B9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0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7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D0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es.co.uk/index.php/reports/national-repor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act.org/report" TargetMode="External"/><Relationship Id="rId12" Type="http://schemas.openxmlformats.org/officeDocument/2006/relationships/hyperlink" Target="http://www.cancerresearchuk.org/about-us/cancer-news/press-release/2016-02-04-cancer-death-rates-fall-by-almost-10-per-cent-in-10-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cerresearchuk.org/health-professional/pancreatic-cancer-survival-statistic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creaticcancer.org.uk/campaigning-and-volunteering/policy-and-campaigning/campaigning/our-campaigns/key-to-surv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in.org.uk/view?rid=26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Baxter UK Materials to be Certified Certificate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Baxter UK Materials to be Certified Certificate</dc:title>
  <dc:creator>HGillingham</dc:creator>
  <cp:lastModifiedBy>Natasha_North</cp:lastModifiedBy>
  <cp:revision>2</cp:revision>
  <dcterms:created xsi:type="dcterms:W3CDTF">2017-11-10T14:04:00Z</dcterms:created>
  <dcterms:modified xsi:type="dcterms:W3CDTF">2017-11-10T14:04:00Z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2017-11-10T00:00:00Z</vt:filetime>
  </property>
</Properties>
</file>